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องค์การบริหารส่วนตำบลหัวเขา อำเภอเดิมบางนางบวช จังหวัดสุพรรณบุรี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องค์การบริหารส่วนตำบลหัวเขา อำเภอเดิมบางนางบวช จังหวัดสุพรรณบุรี ๗๒๑๒๐ www.huakhao.go.th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07/09/2015 14:24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