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 ผู้มีสิทธิรับมรดกตามประมวลกฎหมายแพ่งและพาณิชย์โดยอนุโลม</w:t>
        <w:br/>
        <w:t xml:space="preserve"/>
        <w:br/>
        <w:t xml:space="preserve">2. กรณีทายาทลูกจ้างประจำหรือลูกจ้างชั่วคราวผู้มีสิทธิได้รับทั้งบำเหน็จพิเศษตามระเบียบนี้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 การปฏิบัติงานของชาติหรือการปฏิบัติตามหน้าที่มนุษยธรรม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3. องค์การบริหารส่วนจังหวัด/เทศบาล/องค์การบริหารส่วนตำบล 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 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และให้องค์กรปกครองส่วนท้องถิ่นแจ้งและเบิกจ่ายเงินดังกล่าว</w:t>
              <w:tab/>
              <w:t xml:space="preserve">ให้แก่ทายาทต่อไป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อำเภอดิมบางนางบวช จังหวัดสุพรรณบุรี ๗๒๑๒๐ 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แบบคำขอรับบำเหน็จพิเศษ</w:t>
              <w:tab/>
              <w:t xml:space="preserve"/>
              <w:tab/>
              <w:t xml:space="preserve"/>
              <w:tab/>
              <w:t xml:space="preserve"/>
              <w:tab/>
              <w:t xml:space="preserve"> 2. ตัวอย่างหนังสือรับรองการใช้เงินคืนแก่หน่วยการบริหารราชการส่วนท้องถิ่น</w:t>
              <w:tab/>
              <w:t xml:space="preserve">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08/09/2015 15:41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