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  <w:br/>
        <w:t xml:space="preserve"/>
        <w:br/>
        <w:t xml:space="preserve">2. 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จะแจ้งผลการพิจารณาให้ผู้ยื่นคำขอทราบภายใน 7 วัน นับแต่วันที่พิจารณาแล้วเสร็จ ตามมาตรา 10 แห่ง พ.ร.บง 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>ตรวจสอบความถูกต้องและรวบรวมหลักฐานและเอกสารที่เกี่ยวข้องเสนอผู้มีอำนาจพิจารณา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องค์การบริหารส่วนตำบลหัวเขา อำเภอเดิมบางนางบวช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08/09/2015 15:47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